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仿宋_GB2312"/>
          <w:kern w:val="0"/>
          <w:sz w:val="32"/>
          <w:szCs w:val="32"/>
          <w:lang w:val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7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ascii="方正小标宋简体" w:hAnsi="Times New Roman" w:eastAsia="方正小标宋简体" w:cs="Times New Roman"/>
          <w:color w:val="000000"/>
          <w:sz w:val="44"/>
          <w:szCs w:val="44"/>
        </w:rPr>
        <w:t>县（级）科技特派员服务队信息表</w:t>
      </w:r>
    </w:p>
    <w:tbl>
      <w:tblPr>
        <w:tblStyle w:val="2"/>
        <w:tblW w:w="121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040"/>
        <w:gridCol w:w="1441"/>
        <w:gridCol w:w="2425"/>
        <w:gridCol w:w="2386"/>
        <w:gridCol w:w="1592"/>
        <w:gridCol w:w="1592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单  位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专  业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职  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手  机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队长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队员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队员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00376"/>
    <w:rsid w:val="0FA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2019-08-12T08:57:00Z</dcterms:created>
  <dc:creator>柠檬不酸  萌颖不萌</dc:creator>
  <cp:lastModifiedBy>柠檬不酸  萌颖不萌</cp:lastModifiedBy>
  <dcterms:modified xsi:type="dcterms:W3CDTF">2019-08-12T08:58:20Z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