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0" w:beforeLines="0" w:after="100" w:afterLines="0" w:afterAutospacing="1" w:line="400" w:lineRule="exact"/>
        <w:jc w:val="both"/>
        <w:textAlignment w:val="auto"/>
        <w:outlineLvl w:val="9"/>
        <w:rPr>
          <w:rFonts w:hint="eastAsia" w:ascii="黑体" w:hAnsi="微软雅黑" w:eastAsia="黑体"/>
          <w:color w:val="2B2B2B"/>
          <w:sz w:val="34"/>
          <w:szCs w:val="34"/>
        </w:rPr>
      </w:pPr>
      <w:r>
        <w:rPr>
          <w:rFonts w:hint="eastAsia" w:ascii="黑体" w:hAnsi="黑体" w:eastAsia="黑体" w:cs="黑体"/>
          <w:b w:val="0"/>
          <w:bCs/>
          <w:sz w:val="34"/>
          <w:szCs w:val="34"/>
          <w:lang w:eastAsia="zh-CN"/>
        </w:rPr>
        <w:t>附件</w:t>
      </w:r>
      <w:r>
        <w:rPr>
          <w:rFonts w:hint="eastAsia" w:ascii="黑体" w:hAnsi="黑体" w:eastAsia="黑体" w:cs="黑体"/>
          <w:b w:val="0"/>
          <w:bCs/>
          <w:sz w:val="34"/>
          <w:szCs w:val="34"/>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宋体" w:hAnsi="宋体" w:eastAsia="宋体" w:cs="宋体"/>
          <w:b/>
          <w:bCs/>
          <w:snapToGrid/>
          <w:color w:val="333333"/>
          <w:kern w:val="0"/>
          <w:sz w:val="44"/>
          <w:szCs w:val="44"/>
          <w:shd w:val="clear" w:color="auto" w:fill="FFFFFF"/>
          <w:lang w:val="en-US" w:eastAsia="zh-CN"/>
        </w:rPr>
      </w:pPr>
      <w:bookmarkStart w:id="0" w:name="_GoBack"/>
      <w:r>
        <w:rPr>
          <w:rFonts w:hint="eastAsia" w:ascii="宋体" w:hAnsi="宋体" w:eastAsia="宋体" w:cs="宋体"/>
          <w:b/>
          <w:bCs/>
          <w:snapToGrid/>
          <w:color w:val="333333"/>
          <w:kern w:val="0"/>
          <w:sz w:val="44"/>
          <w:szCs w:val="44"/>
          <w:shd w:val="clear" w:color="auto" w:fill="FFFFFF"/>
          <w:lang w:val="en-US" w:eastAsia="zh-CN"/>
        </w:rPr>
        <w:t>许昌市市级重点实验室申报领域及方向</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bCs/>
          <w:snapToGrid/>
          <w:color w:val="333333"/>
          <w:kern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宋体" w:cs="宋体"/>
          <w:sz w:val="32"/>
          <w:szCs w:val="32"/>
        </w:rPr>
      </w:pPr>
      <w:r>
        <w:rPr>
          <w:rFonts w:hint="eastAsia"/>
          <w:sz w:val="30"/>
          <w:szCs w:val="30"/>
          <w:lang w:val="en-US" w:eastAsia="zh-CN"/>
        </w:rPr>
        <w:t xml:space="preserve">     </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、生物与新医药</w:t>
      </w:r>
      <w:r>
        <w:rPr>
          <w:rFonts w:hint="eastAsia" w:ascii="黑体" w:hAnsi="黑体" w:eastAsia="黑体" w:cs="黑体"/>
          <w:b w:val="0"/>
          <w:bCs w:val="0"/>
          <w:sz w:val="32"/>
          <w:szCs w:val="32"/>
          <w:lang w:eastAsia="zh-CN"/>
        </w:rPr>
        <w:t>领域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创新药、</w:t>
      </w:r>
      <w:r>
        <w:rPr>
          <w:rFonts w:hint="eastAsia" w:ascii="仿宋_GB2312" w:hAnsi="仿宋_GB2312" w:eastAsia="仿宋_GB2312" w:cs="仿宋_GB2312"/>
          <w:sz w:val="32"/>
          <w:szCs w:val="32"/>
        </w:rPr>
        <w:t>中药新品种的开发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中药资源可持续利用</w:t>
      </w:r>
      <w:r>
        <w:rPr>
          <w:rFonts w:hint="eastAsia" w:ascii="仿宋_GB2312" w:hAnsi="仿宋_GB2312" w:eastAsia="仿宋_GB2312" w:cs="仿宋_GB2312"/>
          <w:sz w:val="32"/>
          <w:szCs w:val="32"/>
          <w:lang w:eastAsia="zh-CN"/>
        </w:rPr>
        <w:t>技术研究；</w:t>
      </w:r>
      <w:r>
        <w:rPr>
          <w:rFonts w:hint="eastAsia" w:ascii="仿宋_GB2312" w:hAnsi="仿宋_GB2312" w:eastAsia="仿宋_GB2312" w:cs="仿宋_GB2312"/>
          <w:sz w:val="32"/>
          <w:szCs w:val="32"/>
        </w:rPr>
        <w:t>心脑血管疾病治疗药物、抗肿瘤药物</w:t>
      </w:r>
      <w:r>
        <w:rPr>
          <w:rFonts w:hint="eastAsia" w:ascii="仿宋_GB2312" w:hAnsi="仿宋_GB2312" w:eastAsia="仿宋_GB2312" w:cs="仿宋_GB2312"/>
          <w:sz w:val="32"/>
          <w:szCs w:val="32"/>
          <w:lang w:val="en-US" w:eastAsia="zh-CN"/>
        </w:rPr>
        <w:t>及其</w:t>
      </w:r>
      <w:r>
        <w:rPr>
          <w:rFonts w:hint="eastAsia" w:ascii="仿宋_GB2312" w:hAnsi="仿宋_GB2312" w:eastAsia="仿宋_GB2312" w:cs="仿宋_GB2312"/>
          <w:sz w:val="32"/>
          <w:szCs w:val="32"/>
        </w:rPr>
        <w:t>中间体</w:t>
      </w:r>
      <w:r>
        <w:rPr>
          <w:rFonts w:hint="eastAsia" w:ascii="仿宋_GB2312" w:hAnsi="仿宋_GB2312" w:eastAsia="仿宋_GB2312" w:cs="仿宋_GB2312"/>
          <w:sz w:val="32"/>
          <w:szCs w:val="32"/>
          <w:lang w:eastAsia="zh-CN"/>
        </w:rPr>
        <w:t>提取、</w:t>
      </w:r>
      <w:r>
        <w:rPr>
          <w:rFonts w:hint="eastAsia" w:ascii="仿宋_GB2312" w:hAnsi="仿宋_GB2312" w:eastAsia="仿宋_GB2312" w:cs="仿宋_GB2312"/>
          <w:sz w:val="32"/>
          <w:szCs w:val="32"/>
        </w:rPr>
        <w:t>抗感染药物(包括抗细菌、抗真菌、抗原虫药等)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技术与研究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生物催化技术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微生物发酵新技术、功能性食品及生物技术在食品安全领域的</w:t>
      </w:r>
      <w:r>
        <w:rPr>
          <w:rFonts w:hint="eastAsia" w:ascii="仿宋_GB2312" w:hAnsi="仿宋_GB2312" w:eastAsia="仿宋_GB2312" w:cs="仿宋_GB2312"/>
          <w:sz w:val="32"/>
          <w:szCs w:val="32"/>
          <w:lang w:eastAsia="zh-CN"/>
        </w:rPr>
        <w:t>应用与研究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农林植物优良新品种与优质高效安全生产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畜禽水产优良新品种与健康养殖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重大农林植物灾害与动物疫病防控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农业生物技术</w:t>
      </w:r>
      <w:r>
        <w:rPr>
          <w:rFonts w:hint="eastAsia" w:ascii="仿宋_GB2312" w:hAnsi="仿宋_GB2312" w:eastAsia="仿宋_GB2312" w:cs="仿宋_GB2312"/>
          <w:sz w:val="32"/>
          <w:szCs w:val="32"/>
          <w:lang w:eastAsia="zh-CN"/>
        </w:rPr>
        <w:t>与研究。</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资源与环境</w:t>
      </w:r>
      <w:r>
        <w:rPr>
          <w:rFonts w:hint="eastAsia" w:ascii="黑体" w:hAnsi="黑体" w:eastAsia="黑体" w:cs="黑体"/>
          <w:b w:val="0"/>
          <w:bCs w:val="0"/>
          <w:sz w:val="32"/>
          <w:szCs w:val="32"/>
          <w:lang w:eastAsia="zh-CN"/>
        </w:rPr>
        <w:t>领域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工业废水处理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饮用水安全保障技术</w:t>
      </w:r>
      <w:r>
        <w:rPr>
          <w:rFonts w:hint="eastAsia" w:ascii="仿宋_GB2312" w:hAnsi="仿宋_GB2312" w:eastAsia="仿宋_GB2312" w:cs="仿宋_GB2312"/>
          <w:sz w:val="32"/>
          <w:szCs w:val="32"/>
          <w:lang w:eastAsia="zh-CN"/>
        </w:rPr>
        <w:t>与研究，</w:t>
      </w:r>
      <w:r>
        <w:rPr>
          <w:rFonts w:hint="eastAsia" w:ascii="仿宋_GB2312" w:hAnsi="仿宋_GB2312" w:eastAsia="仿宋_GB2312" w:cs="仿宋_GB2312"/>
          <w:sz w:val="32"/>
          <w:szCs w:val="32"/>
        </w:rPr>
        <w:t>煤燃烧污染防治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局部环境空气质量提高与污染防治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工业固体废弃物的资源综合利用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有机固体废物的处理和资源化技术</w:t>
      </w:r>
      <w:r>
        <w:rPr>
          <w:rFonts w:hint="eastAsia" w:ascii="仿宋_GB2312" w:hAnsi="仿宋_GB2312" w:eastAsia="仿宋_GB2312" w:cs="仿宋_GB2312"/>
          <w:sz w:val="32"/>
          <w:szCs w:val="32"/>
          <w:lang w:eastAsia="zh-CN"/>
        </w:rPr>
        <w:t>与研究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在线连续自动监测、应急监测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生态环境监测技术</w:t>
      </w:r>
      <w:r>
        <w:rPr>
          <w:rFonts w:hint="eastAsia" w:ascii="仿宋_GB2312" w:hAnsi="仿宋_GB2312" w:eastAsia="仿宋_GB2312" w:cs="仿宋_GB2312"/>
          <w:sz w:val="32"/>
          <w:szCs w:val="32"/>
          <w:lang w:eastAsia="zh-CN"/>
        </w:rPr>
        <w:t>与研究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重点行业污染减排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污水和固体废物回收</w:t>
      </w:r>
      <w:r>
        <w:rPr>
          <w:rFonts w:hint="eastAsia" w:ascii="仿宋_GB2312" w:hAnsi="仿宋_GB2312" w:eastAsia="仿宋_GB2312" w:cs="仿宋_GB2312"/>
          <w:sz w:val="32"/>
          <w:szCs w:val="32"/>
          <w:lang w:eastAsia="zh-CN"/>
        </w:rPr>
        <w:t>处理与</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eastAsia="zh-CN"/>
        </w:rPr>
        <w:t>三、医疗卫生领域</w:t>
      </w:r>
    </w:p>
    <w:p>
      <w:pPr>
        <w:keepNext w:val="0"/>
        <w:keepLines w:val="0"/>
        <w:pageBreakBefore w:val="0"/>
        <w:widowControl w:val="0"/>
        <w:kinsoku/>
        <w:wordWrap/>
        <w:overflowPunct/>
        <w:topLinePunct w:val="0"/>
        <w:autoSpaceDE/>
        <w:bidi w:val="0"/>
        <w:adjustRightInd w:val="0"/>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新生儿疾病、</w:t>
      </w:r>
      <w:r>
        <w:rPr>
          <w:rFonts w:hint="eastAsia" w:ascii="仿宋_GB2312" w:hAnsi="仿宋_GB2312" w:eastAsia="仿宋_GB2312" w:cs="仿宋_GB2312"/>
          <w:sz w:val="32"/>
          <w:szCs w:val="32"/>
        </w:rPr>
        <w:t>儿童遗传疾病</w:t>
      </w:r>
      <w:r>
        <w:rPr>
          <w:rFonts w:hint="eastAsia" w:ascii="仿宋_GB2312" w:hAnsi="仿宋_GB2312" w:eastAsia="仿宋_GB2312" w:cs="仿宋_GB2312"/>
          <w:sz w:val="32"/>
          <w:szCs w:val="32"/>
          <w:lang w:eastAsia="zh-CN"/>
        </w:rPr>
        <w:t>、地方病、传染性疾病、</w:t>
      </w:r>
      <w:r>
        <w:rPr>
          <w:rFonts w:hint="eastAsia" w:ascii="仿宋_GB2312" w:hAnsi="仿宋_GB2312" w:eastAsia="仿宋_GB2312" w:cs="仿宋_GB2312"/>
          <w:sz w:val="32"/>
          <w:szCs w:val="32"/>
        </w:rPr>
        <w:t>心血管疾病、脑血管疾病</w:t>
      </w:r>
      <w:r>
        <w:rPr>
          <w:rFonts w:hint="eastAsia" w:ascii="仿宋_GB2312" w:hAnsi="仿宋_GB2312" w:eastAsia="仿宋_GB2312" w:cs="仿宋_GB2312"/>
          <w:sz w:val="32"/>
          <w:szCs w:val="32"/>
          <w:lang w:eastAsia="zh-CN"/>
        </w:rPr>
        <w:t>、妇科疾病和肝、肾脏等肿瘤疾病的预防与控制技术</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；疑难、重大呼吸疾病康复治疗临床应用研究、</w:t>
      </w:r>
      <w:r>
        <w:rPr>
          <w:rFonts w:hint="eastAsia" w:ascii="仿宋_GB2312" w:hAnsi="仿宋_GB2312" w:eastAsia="仿宋_GB2312" w:cs="仿宋_GB2312"/>
          <w:snapToGrid/>
          <w:sz w:val="32"/>
          <w:szCs w:val="32"/>
          <w:shd w:val="clear" w:color="auto" w:fill="FFFFFF"/>
          <w:lang w:eastAsia="zh-CN"/>
        </w:rPr>
        <w:t>老年人药物依赖性疾病的预防与康复治疗临床应用研究和恶性肿瘤疾病化疗及靶向治疗、介入治疗、生物治疗等临床应用研究等；</w:t>
      </w:r>
      <w:r>
        <w:rPr>
          <w:rFonts w:hint="eastAsia" w:ascii="仿宋_GB2312" w:hAnsi="仿宋_GB2312" w:eastAsia="仿宋_GB2312" w:cs="仿宋_GB2312"/>
          <w:sz w:val="32"/>
          <w:szCs w:val="32"/>
          <w:lang w:eastAsia="zh-CN"/>
        </w:rPr>
        <w:t>细胞生物学相关技术。</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both"/>
        <w:textAlignment w:val="auto"/>
        <w:outlineLvl w:val="9"/>
        <w:rPr>
          <w:rFonts w:hint="eastAsia"/>
          <w:b/>
          <w:bCs/>
          <w:sz w:val="32"/>
          <w:szCs w:val="32"/>
        </w:rPr>
      </w:pP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电子信息</w:t>
      </w:r>
      <w:r>
        <w:rPr>
          <w:rFonts w:hint="eastAsia" w:ascii="黑体" w:hAnsi="黑体" w:eastAsia="黑体" w:cs="黑体"/>
          <w:b w:val="0"/>
          <w:bCs w:val="0"/>
          <w:sz w:val="32"/>
          <w:szCs w:val="32"/>
          <w:lang w:eastAsia="zh-CN"/>
        </w:rPr>
        <w:t>领域</w:t>
      </w:r>
      <w:r>
        <w:rPr>
          <w:rFonts w:hint="eastAsia"/>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空间信息获取</w:t>
      </w:r>
      <w:r>
        <w:rPr>
          <w:rFonts w:hint="eastAsia" w:ascii="仿宋_GB2312" w:hAnsi="仿宋_GB2312" w:eastAsia="仿宋_GB2312" w:cs="仿宋_GB2312"/>
          <w:sz w:val="32"/>
          <w:szCs w:val="32"/>
          <w:lang w:eastAsia="zh-CN"/>
        </w:rPr>
        <w:t>、网络信息安全</w:t>
      </w:r>
      <w:r>
        <w:rPr>
          <w:rFonts w:hint="eastAsia" w:ascii="仿宋_GB2312" w:hAnsi="仿宋_GB2312" w:eastAsia="仿宋_GB2312" w:cs="仿宋_GB2312"/>
          <w:sz w:val="32"/>
          <w:szCs w:val="32"/>
        </w:rPr>
        <w:t>及综合应用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先进的交通管理和控制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车载电子设备和系统技术、交通基础信息采集</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val="en-US" w:eastAsia="zh-CN"/>
        </w:rPr>
        <w:t>五、材料工程领域</w:t>
      </w:r>
      <w:r>
        <w:rPr>
          <w:rFonts w:hint="eastAsia" w:ascii="宋体" w:hAnsi="宋体" w:eastAsia="宋体" w:cs="宋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非金属材料先进制备、加工</w:t>
      </w:r>
      <w:r>
        <w:rPr>
          <w:rFonts w:hint="eastAsia" w:ascii="仿宋_GB2312" w:hAnsi="仿宋_GB2312" w:eastAsia="仿宋_GB2312" w:cs="仿宋_GB2312"/>
          <w:sz w:val="32"/>
          <w:szCs w:val="32"/>
          <w:lang w:eastAsia="zh-CN"/>
        </w:rPr>
        <w:t>（提取）</w:t>
      </w:r>
      <w:r>
        <w:rPr>
          <w:rFonts w:hint="eastAsia" w:ascii="仿宋_GB2312" w:hAnsi="仿宋_GB2312" w:eastAsia="仿宋_GB2312" w:cs="仿宋_GB2312"/>
          <w:sz w:val="32"/>
          <w:szCs w:val="32"/>
        </w:rPr>
        <w:t>和成型技术</w:t>
      </w:r>
      <w:r>
        <w:rPr>
          <w:rFonts w:hint="eastAsia" w:ascii="仿宋_GB2312" w:hAnsi="仿宋_GB2312" w:eastAsia="仿宋_GB2312" w:cs="仿宋_GB2312"/>
          <w:sz w:val="32"/>
          <w:szCs w:val="32"/>
          <w:lang w:eastAsia="zh-CN"/>
        </w:rPr>
        <w:t>及应用。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装备制造领域</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高新技术改造传统产业</w:t>
      </w:r>
      <w:r>
        <w:rPr>
          <w:rFonts w:hint="eastAsia" w:ascii="黑体" w:hAnsi="黑体" w:eastAsia="黑体" w:cs="黑体"/>
          <w:b w:val="0"/>
          <w:bCs w:val="0"/>
          <w:sz w:val="32"/>
          <w:szCs w:val="32"/>
          <w:lang w:eastAsia="zh-CN"/>
        </w:rPr>
        <w:t>）</w:t>
      </w:r>
      <w:r>
        <w:rPr>
          <w:rFonts w:hint="eastAsia" w:ascii="宋体" w:hAnsi="宋体" w:eastAsia="宋体" w:cs="宋体"/>
          <w:b/>
          <w:bCs/>
          <w:sz w:val="32"/>
          <w:szCs w:val="32"/>
        </w:rPr>
        <w:t xml:space="preserve">  </w:t>
      </w:r>
    </w:p>
    <w:p>
      <w:pPr>
        <w:jc w:val="left"/>
        <w:rPr>
          <w:rFonts w:hint="eastAsia" w:ascii="黑体" w:hAnsi="微软雅黑" w:eastAsia="黑体"/>
          <w:color w:val="2B2B2B"/>
          <w:sz w:val="34"/>
          <w:szCs w:val="3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先进制造系统及数控加工技术、机器人技术</w:t>
      </w:r>
      <w:r>
        <w:rPr>
          <w:rFonts w:hint="eastAsia" w:ascii="仿宋_GB2312" w:hAnsi="仿宋_GB2312" w:eastAsia="仿宋_GB2312" w:cs="仿宋_GB2312"/>
          <w:sz w:val="32"/>
          <w:szCs w:val="32"/>
          <w:lang w:eastAsia="zh-CN"/>
        </w:rPr>
        <w:t>及</w:t>
      </w:r>
      <w:r>
        <w:rPr>
          <w:rFonts w:hint="eastAsia" w:ascii="仿宋_GB2312" w:hAnsi="仿宋" w:eastAsia="仿宋_GB2312"/>
          <w:sz w:val="32"/>
          <w:szCs w:val="32"/>
        </w:rPr>
        <w:t>智能专用装备；</w:t>
      </w:r>
      <w:r>
        <w:rPr>
          <w:rFonts w:hint="eastAsia" w:ascii="仿宋_GB2312" w:hAnsi="仿宋_GB2312" w:eastAsia="仿宋_GB2312" w:cs="仿宋_GB2312"/>
          <w:sz w:val="32"/>
          <w:szCs w:val="32"/>
        </w:rPr>
        <w:t>电力系统信息与自动</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汽车关键零部件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前端技术</w:t>
      </w:r>
      <w:r>
        <w:rPr>
          <w:rFonts w:hint="eastAsia" w:ascii="仿宋_GB2312" w:hAnsi="仿宋_GB2312" w:eastAsia="仿宋_GB2312" w:cs="仿宋_GB2312"/>
          <w:sz w:val="32"/>
          <w:szCs w:val="32"/>
          <w:lang w:eastAsia="zh-CN"/>
        </w:rPr>
        <w:t>。</w:t>
      </w: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pPr>
        <w:jc w:val="left"/>
        <w:rPr>
          <w:rFonts w:hint="eastAsia" w:ascii="黑体" w:hAnsi="微软雅黑" w:eastAsia="黑体"/>
          <w:color w:val="2B2B2B"/>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1285F"/>
    <w:rsid w:val="1231285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2018-09-13T09:00:00Z</dcterms:created>
  <dc:creator>吴卫东</dc:creator>
  <cp:lastModifiedBy>吴卫东</cp:lastModifiedBy>
  <dcterms:modified xsi:type="dcterms:W3CDTF">2018-09-13T09:00:51Z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